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员工手册框架</w:t>
      </w:r>
    </w:p>
    <w:bookmarkStart w:id="9" w:name="welcome"/>
    <w:p>
      <w:pPr>
        <w:pStyle w:val="Heading2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章：欢迎词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创始人/老板的欢迎信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公司简史与愿景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手册使用说明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员工签收确认页（一式两份）</w:t>
      </w:r>
    </w:p>
    <w:bookmarkEnd w:id="9"/>
    <w:bookmarkStart w:id="10" w:name="values"/>
    <w:p>
      <w:pPr>
        <w:pStyle w:val="Heading2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章：公司价值与文化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核心价值观（建议</w:t>
      </w:r>
      <w:r>
        <w:t xml:space="preserve"> 3-5 </w:t>
      </w:r>
      <w:r>
        <w:rPr>
          <w:rFonts w:hint="eastAsia"/>
        </w:rPr>
        <w:t xml:space="preserve">条，简洁易记）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服务理念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团队文化期望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平等机会声明</w:t>
      </w:r>
    </w:p>
    <w:bookmarkEnd w:id="10"/>
    <w:bookmarkStart w:id="11" w:name="onboarding"/>
    <w:p>
      <w:pPr>
        <w:pStyle w:val="Heading2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章：入职流程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入职所需文件清单（IC/护照、银行账号、EPF（公积金）号码、照片等）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试用期说明（时长、评估标准）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入职培训安排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工作证/名牌发放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制服发放与管理</w:t>
      </w:r>
    </w:p>
    <w:bookmarkEnd w:id="11"/>
    <w:bookmarkStart w:id="12" w:name="attendance"/>
    <w:p>
      <w:pPr>
        <w:pStyle w:val="Heading2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章：考勤制度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工作时间与班次安排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打卡/签到制度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迟到定义与处理（迟到____分钟视为迟到）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早退规定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旷工定义与处理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换班/调班流程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加班审批流程</w:t>
      </w:r>
    </w:p>
    <w:bookmarkEnd w:id="12"/>
    <w:bookmarkStart w:id="14" w:name="compensation"/>
    <w:p>
      <w:pPr>
        <w:pStyle w:val="Heading2"/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章：薪资与福利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薪资结构（底薪</w:t>
      </w:r>
      <w:r>
        <w:t xml:space="preserve"> + </w:t>
      </w:r>
      <w:r>
        <w:rPr>
          <w:rFonts w:hint="eastAsia"/>
        </w:rPr>
        <w:t xml:space="preserve">津贴</w:t>
      </w:r>
      <w:r>
        <w:t xml:space="preserve"> + </w:t>
      </w:r>
      <w:r>
        <w:rPr>
          <w:rFonts w:hint="eastAsia"/>
        </w:rPr>
        <w:t xml:space="preserve">加班费）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发薪日与方式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法定供款扣缴说明：EPF（公积金）、SOCSO（社会保险）、EIS（就业保险）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加班费计算方式（1.5x</w:t>
      </w:r>
      <w:r>
        <w:t xml:space="preserve"> / 2x / </w:t>
      </w:r>
      <w:r>
        <w:rPr>
          <w:rFonts w:hint="eastAsia"/>
        </w:rPr>
        <w:t xml:space="preserve">3x）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津贴制度（如有：交通/餐食/住宿）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年终花红政策（如有）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员工餐/员工折扣（如有）</w:t>
      </w:r>
    </w:p>
    <w:p>
      <w:pPr>
        <w:pStyle w:val="BlockText"/>
      </w:pPr>
      <w:r>
        <w:rPr>
          <w:rFonts w:hint="eastAsia"/>
        </w:rPr>
        <w:t xml:space="preserve">具体金额与计算条款以</w:t>
      </w:r>
      <w:r>
        <w:t xml:space="preserve"> </w:t>
      </w:r>
      <w:hyperlink r:id="rId13">
        <w:r>
          <w:rPr>
            <w:rStyle w:val="Hyperlink"/>
            <w:rFonts w:hint="eastAsia"/>
          </w:rPr>
          <w:t xml:space="preserve">员工合同</w:t>
        </w:r>
      </w:hyperlink>
      <w:r>
        <w:t xml:space="preserve"> </w:t>
      </w:r>
      <w:r>
        <w:rPr>
          <w:rFonts w:hint="eastAsia"/>
        </w:rPr>
        <w:t xml:space="preserve">为准，手册仅描述公司政策与流程。</w:t>
      </w:r>
    </w:p>
    <w:bookmarkEnd w:id="14"/>
    <w:bookmarkStart w:id="15" w:name="leave"/>
    <w:p>
      <w:pPr>
        <w:pStyle w:val="Heading2"/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章：假期制度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年假额度（按服务年限递增）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病假额度与申请流程（须附</w:t>
      </w:r>
      <w:r>
        <w:t xml:space="preserve"> </w:t>
      </w:r>
      <w:r>
        <w:rPr>
          <w:rFonts w:hint="eastAsia"/>
        </w:rPr>
        <w:t xml:space="preserve">MC）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住院病假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产假（98</w:t>
      </w:r>
      <w:r>
        <w:t xml:space="preserve"> </w:t>
      </w:r>
      <w:r>
        <w:rPr>
          <w:rFonts w:hint="eastAsia"/>
        </w:rPr>
        <w:t xml:space="preserve">天）与陪产假（7</w:t>
      </w:r>
      <w:r>
        <w:t xml:space="preserve"> </w:t>
      </w:r>
      <w:r>
        <w:rPr>
          <w:rFonts w:hint="eastAsia"/>
        </w:rPr>
        <w:t xml:space="preserve">天）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公共假期安排（轮班行业的替代休假安排）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无薪假申请条件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紧急假/丧假/婚假（如有）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请假审批流程与提前通知要求</w:t>
      </w:r>
    </w:p>
    <w:bookmarkEnd w:id="15"/>
    <w:bookmarkStart w:id="16" w:name="code-of-conduct"/>
    <w:p>
      <w:pPr>
        <w:pStyle w:val="Heading2"/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章：行为准则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仪容仪表标准（指甲/发型/首饰/香水）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手机使用规定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吸烟区域规定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禁止行为清单（赌博/酒精/毒品/性骚扰/偷窃等）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利益冲突申报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社交媒体使用规范（涉及公司信息的发布限制）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保密义务</w:t>
      </w:r>
    </w:p>
    <w:bookmarkEnd w:id="16"/>
    <w:bookmarkStart w:id="18" w:name="food-safety"/>
    <w:p>
      <w:pPr>
        <w:pStyle w:val="Heading2"/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章：食品安全与卫生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个人卫生要求（洗手频率/方法、手部伤口处理）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食品处理基本规则（生熟分离、温度控制）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制服/围裙/手套使用规范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伤寒疫苗与食品处理证书要求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发现食安问题的报告流程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违反食安规定的后果</w:t>
      </w:r>
    </w:p>
    <w:p>
      <w:pPr>
        <w:pStyle w:val="BlockText"/>
      </w:pPr>
      <w:r>
        <w:rPr>
          <w:rFonts w:hint="eastAsia"/>
        </w:rPr>
        <w:t xml:space="preserve">详细操作标准与</w:t>
      </w:r>
      <w:r>
        <w:t xml:space="preserve"> HACCP </w:t>
      </w:r>
      <w:r>
        <w:rPr>
          <w:rFonts w:hint="eastAsia"/>
        </w:rPr>
        <w:t xml:space="preserve">流程以</w:t>
      </w:r>
      <w:r>
        <w:t xml:space="preserve"> </w:t>
      </w:r>
      <w:hyperlink r:id="rId17">
        <w:r>
          <w:rPr>
            <w:rStyle w:val="Hyperlink"/>
            <w:rFonts w:hint="eastAsia"/>
          </w:rPr>
          <w:t xml:space="preserve">食品安全</w:t>
        </w:r>
        <w:r>
          <w:rPr>
            <w:rStyle w:val="Hyperlink"/>
          </w:rPr>
          <w:t xml:space="preserve"> SOP </w:t>
        </w:r>
        <w:r>
          <w:rPr>
            <w:rStyle w:val="Hyperlink"/>
            <w:rFonts w:hint="eastAsia"/>
          </w:rPr>
          <w:t xml:space="preserve">框架</w:t>
        </w:r>
      </w:hyperlink>
      <w:r>
        <w:t xml:space="preserve"> </w:t>
      </w:r>
      <w:r>
        <w:rPr>
          <w:rFonts w:hint="eastAsia"/>
        </w:rPr>
        <w:t xml:space="preserve">为准，手册仅为员工培训摘要。</w:t>
      </w:r>
    </w:p>
    <w:bookmarkEnd w:id="18"/>
    <w:bookmarkStart w:id="19" w:name="workplace-safety"/>
    <w:p>
      <w:pPr>
        <w:pStyle w:val="Heading2"/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章：职场安全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消防逃生路线与集合点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灭火器位置与使用方法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烫伤/割伤/滑倒的预防措施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受伤后的报告流程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急救箱位置</w:t>
      </w:r>
    </w:p>
    <w:p>
      <w:pPr>
        <w:pStyle w:val="Compact"/>
        <w:numPr>
          <w:ilvl w:val="0"/>
          <w:numId w:val="1009"/>
        </w:numPr>
      </w:pPr>
      <w:r>
        <w:t xml:space="preserve">SOCSO </w:t>
      </w:r>
      <w:r>
        <w:rPr>
          <w:rFonts w:hint="eastAsia"/>
        </w:rPr>
        <w:t xml:space="preserve">工伤申报流程</w:t>
      </w:r>
    </w:p>
    <w:bookmarkEnd w:id="19"/>
    <w:bookmarkStart w:id="20" w:name="customer-service"/>
    <w:p>
      <w:pPr>
        <w:pStyle w:val="Heading2"/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章：顾客服务标准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基本服务礼仪（问候/微笑/目光接触）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服务流程标准（迎客</w:t>
      </w:r>
      <w:r>
        <w:t xml:space="preserve"> → </w:t>
      </w:r>
      <w:r>
        <w:rPr>
          <w:rFonts w:hint="eastAsia"/>
        </w:rPr>
        <w:t xml:space="preserve">点餐</w:t>
      </w:r>
      <w:r>
        <w:t xml:space="preserve"> → </w:t>
      </w:r>
      <w:r>
        <w:rPr>
          <w:rFonts w:hint="eastAsia"/>
        </w:rPr>
        <w:t xml:space="preserve">上菜</w:t>
      </w:r>
      <w:r>
        <w:t xml:space="preserve"> → </w:t>
      </w:r>
      <w:r>
        <w:rPr>
          <w:rFonts w:hint="eastAsia"/>
        </w:rPr>
        <w:t xml:space="preserve">结账</w:t>
      </w:r>
      <w:r>
        <w:t xml:space="preserve"> → </w:t>
      </w:r>
      <w:r>
        <w:rPr>
          <w:rFonts w:hint="eastAsia"/>
        </w:rPr>
        <w:t xml:space="preserve">送客）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投诉处理原则与升级路径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特殊需求处理（过敏/儿童/残障）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外卖/打包服务标准</w:t>
      </w:r>
    </w:p>
    <w:bookmarkEnd w:id="20"/>
    <w:bookmarkStart w:id="21" w:name="rewards-discipline"/>
    <w:p>
      <w:pPr>
        <w:pStyle w:val="Heading2"/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章：奖惩制度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奖励类型（口头表扬/书面嘉奖/奖金/晋升推荐）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纪律处分层级：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口头警告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第一次书面警告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第二次书面警告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最终书面警告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解雇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每种处分的适用情形</w:t>
      </w:r>
    </w:p>
    <w:p>
      <w:pPr>
        <w:pStyle w:val="Compact"/>
        <w:numPr>
          <w:ilvl w:val="0"/>
          <w:numId w:val="1011"/>
        </w:numPr>
      </w:pPr>
      <w:r>
        <w:t xml:space="preserve">Due </w:t>
      </w:r>
      <w:r>
        <w:rPr>
          <w:rFonts w:hint="eastAsia"/>
        </w:rPr>
        <w:t xml:space="preserve">Inquiry（内部调查）流程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严重违纪的即时解雇条件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申诉渠道</w:t>
      </w:r>
    </w:p>
    <w:bookmarkEnd w:id="21"/>
    <w:bookmarkStart w:id="22" w:name="career"/>
    <w:p>
      <w:pPr>
        <w:pStyle w:val="Heading2"/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章：晋升与发展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岗位等级结构（如：实习</w:t>
      </w:r>
      <w:r>
        <w:t xml:space="preserve"> → </w:t>
      </w:r>
      <w:r>
        <w:rPr>
          <w:rFonts w:hint="eastAsia"/>
        </w:rPr>
        <w:t xml:space="preserve">初级</w:t>
      </w:r>
      <w:r>
        <w:t xml:space="preserve"> → </w:t>
      </w:r>
      <w:r>
        <w:rPr>
          <w:rFonts w:hint="eastAsia"/>
        </w:rPr>
        <w:t xml:space="preserve">高级</w:t>
      </w:r>
      <w:r>
        <w:t xml:space="preserve"> → </w:t>
      </w:r>
      <w:r>
        <w:rPr>
          <w:rFonts w:hint="eastAsia"/>
        </w:rPr>
        <w:t xml:space="preserve">主管</w:t>
      </w:r>
      <w:r>
        <w:t xml:space="preserve"> → </w:t>
      </w:r>
      <w:r>
        <w:rPr>
          <w:rFonts w:hint="eastAsia"/>
        </w:rPr>
        <w:t xml:space="preserve">经理）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晋升评估周期与标准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培训机会（内部/外部）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技能认证鼓励（如</w:t>
      </w:r>
      <w:r>
        <w:t xml:space="preserve"> barista </w:t>
      </w:r>
      <w:r>
        <w:rPr>
          <w:rFonts w:hint="eastAsia"/>
        </w:rPr>
        <w:t xml:space="preserve">认证、烹饪证书）</w:t>
      </w:r>
    </w:p>
    <w:bookmarkEnd w:id="22"/>
    <w:bookmarkStart w:id="23" w:name="resignation"/>
    <w:p>
      <w:pPr>
        <w:pStyle w:val="Heading2"/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章：离职程序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通知期要求（按服务年限）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辞职信格式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离职交接流程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离职面谈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最后薪资结算（包含未用年假折算）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归还物品清单（钥匙/制服/工作证/设备）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保密义务存续</w:t>
      </w:r>
    </w:p>
    <w:bookmarkEnd w:id="23"/>
    <w:bookmarkStart w:id="24" w:name="communication"/>
    <w:p>
      <w:pPr>
        <w:pStyle w:val="Heading2"/>
      </w:pPr>
      <w:r>
        <w:rPr>
          <w:rFonts w:hint="eastAsia"/>
        </w:rPr>
        <w:t xml:space="preserve">第</w:t>
      </w:r>
      <w:r>
        <w:t xml:space="preserve"> 14 </w:t>
      </w:r>
      <w:r>
        <w:rPr>
          <w:rFonts w:hint="eastAsia"/>
        </w:rPr>
        <w:t xml:space="preserve">章：沟通渠道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日常沟通工具（WhatsApp</w:t>
      </w:r>
      <w:r>
        <w:t xml:space="preserve"> </w:t>
      </w:r>
      <w:r>
        <w:rPr>
          <w:rFonts w:hint="eastAsia"/>
        </w:rPr>
        <w:t xml:space="preserve">群/公告板/班前会）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建议与反馈渠道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投诉与举报渠道（含匿名选项）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紧急联系人清单</w:t>
      </w:r>
    </w:p>
    <w:bookmarkEnd w:id="24"/>
    <w:bookmarkStart w:id="25" w:name="special-policies"/>
    <w:p>
      <w:pPr>
        <w:pStyle w:val="Heading2"/>
      </w:pPr>
      <w:r>
        <w:rPr>
          <w:rFonts w:hint="eastAsia"/>
        </w:rPr>
        <w:t xml:space="preserve">第</w:t>
      </w:r>
      <w:r>
        <w:t xml:space="preserve"> 15 </w:t>
      </w:r>
      <w:r>
        <w:rPr>
          <w:rFonts w:hint="eastAsia"/>
        </w:rPr>
        <w:t xml:space="preserve">章：特别政策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外劳员工特别说明（如适用）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斋月期间工作安排（如适用）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节日排班原则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恶劣天气/紧急事件应对</w:t>
      </w:r>
    </w:p>
    <w:bookmarkEnd w:id="25"/>
    <w:bookmarkStart w:id="26" w:name="appendix"/>
    <w:p>
      <w:pPr>
        <w:pStyle w:val="Heading2"/>
      </w:pPr>
      <w:r>
        <w:rPr>
          <w:rFonts w:hint="eastAsia"/>
        </w:rPr>
        <w:t xml:space="preserve">第</w:t>
      </w:r>
      <w:r>
        <w:t xml:space="preserve"> 16 </w:t>
      </w:r>
      <w:r>
        <w:rPr>
          <w:rFonts w:hint="eastAsia"/>
        </w:rPr>
        <w:t xml:space="preserve">章：附录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员工签收确认表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请假申请表模板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加班申请表模板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纪律处分表模板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离职交接清单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紧急联系人登记表</w:t>
      </w:r>
    </w:p>
    <w:p>
      <w:r>
        <w:pict>
          <v:rect style="width:0;height:1.5pt" o:hralign="center" o:hrstd="t" o:hr="t"/>
        </w:pict>
      </w:r>
    </w:p>
    <w:bookmarkEnd w:id="26"/>
    <w:bookmarkStart w:id="27" w:name="tips"/>
    <w:p>
      <w:pPr>
        <w:pStyle w:val="Heading2"/>
      </w:pPr>
      <w:r>
        <w:rPr>
          <w:rFonts w:hint="eastAsia"/>
        </w:rPr>
        <w:t xml:space="preserve">编写建议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语言</w:t>
      </w:r>
      <w:r>
        <w:t xml:space="preserve"> </w:t>
      </w:r>
      <w:r>
        <w:rPr>
          <w:rFonts w:hint="eastAsia"/>
        </w:rPr>
        <w:t xml:space="preserve">使用员工能理解的语言（如多语种团队，建议提供马来语和中文版本）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长度</w:t>
      </w:r>
      <w:r>
        <w:t xml:space="preserve"> </w:t>
      </w:r>
      <w:r>
        <w:rPr>
          <w:rFonts w:hint="eastAsia"/>
        </w:rPr>
        <w:t xml:space="preserve">控制在</w:t>
      </w:r>
      <w:r>
        <w:t xml:space="preserve"> 20-30 </w:t>
      </w:r>
      <w:r>
        <w:rPr>
          <w:rFonts w:hint="eastAsia"/>
        </w:rPr>
        <w:t xml:space="preserve">页内，过长员工不会看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签收</w:t>
      </w:r>
      <w:r>
        <w:t xml:space="preserve"> </w:t>
      </w:r>
      <w:r>
        <w:rPr>
          <w:rFonts w:hint="eastAsia"/>
        </w:rPr>
        <w:t xml:space="preserve">每位员工入职时签收确认，保留记录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更新</w:t>
      </w:r>
      <w:r>
        <w:t xml:space="preserve"> </w:t>
      </w:r>
      <w:r>
        <w:rPr>
          <w:rFonts w:hint="eastAsia"/>
        </w:rPr>
        <w:t xml:space="preserve">法规或政策变动后及时更新，通知全体员工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培训</w:t>
      </w:r>
      <w:r>
        <w:t xml:space="preserve"> </w:t>
      </w:r>
      <w:r>
        <w:rPr>
          <w:rFonts w:hint="eastAsia"/>
        </w:rPr>
        <w:t xml:space="preserve">不能只发手册不培训，关键条款须现场讲解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一致性</w:t>
      </w:r>
      <w:r>
        <w:t xml:space="preserve"> </w:t>
      </w:r>
      <w:r>
        <w:rPr>
          <w:rFonts w:hint="eastAsia"/>
        </w:rPr>
        <w:t xml:space="preserve">手册内容须与雇佣合同一致，有冲突时以合同为准</w:t>
      </w:r>
    </w:p>
    <w:bookmarkEnd w:id="27"/>
    <w:bookmarkStart w:id="28" w:name="common-mistakes"/>
    <w:p>
      <w:pPr>
        <w:pStyle w:val="Heading2"/>
      </w:pPr>
      <w:r>
        <w:rPr>
          <w:rFonts w:hint="eastAsia"/>
        </w:rPr>
        <w:t xml:space="preserve">常见误区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28"/>
        <w:gridCol w:w="479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误区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正确做法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“口头说就行，不用写手册”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书面手册是纠纷时的重要证据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“写得越严越好”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过于严苛导致执行不一致，反而削弱手册约束力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“写了不用更新”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法规变动后必须同步更新，否则可能误导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“所有员工一样的手册”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外劳、兼职可能需要补充条款</w:t>
            </w:r>
          </w:p>
        </w:tc>
      </w:tr>
    </w:tbl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3" Target="/resources/employee-contract" TargetMode="External" /><Relationship Type="http://schemas.openxmlformats.org/officeDocument/2006/relationships/hyperlink" Id="rId17" Target="/resources/food-safety-so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/resources/employee-contract" TargetMode="External" /><Relationship Type="http://schemas.openxmlformats.org/officeDocument/2006/relationships/hyperlink" Id="rId17" Target="/resources/food-safety-so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员工手册框架</dc:title>
  <dc:creator/>
  <dc:language>zh-CN</dc:language>
  <cp:keywords/>
  <dcterms:created xsi:type="dcterms:W3CDTF">2026-05-01T08:50:23Z</dcterms:created>
  <dcterms:modified xsi:type="dcterms:W3CDTF">2026-05-01T08:50:23Z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